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9AC3" w14:textId="5220F34A" w:rsidR="00C859B7" w:rsidRPr="005F5A63" w:rsidRDefault="00260F42" w:rsidP="005F5A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Marion Lauder House</w:t>
      </w:r>
      <w:r w:rsidR="00C859B7" w:rsidRPr="005F5A63">
        <w:rPr>
          <w:b/>
          <w:sz w:val="24"/>
          <w:szCs w:val="24"/>
        </w:rPr>
        <w:t xml:space="preserve">. Top up information including costs </w:t>
      </w:r>
      <w:r w:rsidR="00A51FE8">
        <w:rPr>
          <w:b/>
          <w:sz w:val="24"/>
          <w:szCs w:val="24"/>
        </w:rPr>
        <w:t>2020/21</w:t>
      </w:r>
    </w:p>
    <w:p w14:paraId="140AEA3B" w14:textId="60A7AB0E" w:rsidR="00CF1482" w:rsidRPr="005F5A63" w:rsidRDefault="000E0FC9" w:rsidP="0091633F">
      <w:pPr>
        <w:jc w:val="both"/>
        <w:rPr>
          <w:sz w:val="24"/>
          <w:szCs w:val="24"/>
        </w:rPr>
      </w:pPr>
      <w:r w:rsidRPr="000E0FC9">
        <w:rPr>
          <w:sz w:val="24"/>
          <w:szCs w:val="24"/>
        </w:rPr>
        <w:t>Marion Lauder</w:t>
      </w:r>
      <w:r>
        <w:rPr>
          <w:sz w:val="24"/>
          <w:szCs w:val="24"/>
        </w:rPr>
        <w:t xml:space="preserve"> currently changes £</w:t>
      </w:r>
      <w:r w:rsidR="00A51FE8">
        <w:rPr>
          <w:sz w:val="24"/>
          <w:szCs w:val="24"/>
        </w:rPr>
        <w:t>50</w:t>
      </w:r>
      <w:r w:rsidR="00C859B7" w:rsidRPr="005F5A63">
        <w:rPr>
          <w:sz w:val="24"/>
          <w:szCs w:val="24"/>
        </w:rPr>
        <w:t xml:space="preserve"> a week top up to Local Authority funded residents. This reflects the difference between what the Local Authority pay </w:t>
      </w:r>
      <w:r>
        <w:rPr>
          <w:sz w:val="24"/>
          <w:szCs w:val="24"/>
        </w:rPr>
        <w:t>Marion Lauder</w:t>
      </w:r>
      <w:r w:rsidR="00C859B7" w:rsidRPr="005F5A63">
        <w:rPr>
          <w:sz w:val="24"/>
          <w:szCs w:val="24"/>
        </w:rPr>
        <w:t xml:space="preserve"> and the cost to deliver care services.</w:t>
      </w:r>
      <w:r w:rsidR="0091633F">
        <w:rPr>
          <w:sz w:val="24"/>
          <w:szCs w:val="24"/>
        </w:rPr>
        <w:t xml:space="preserve"> </w:t>
      </w:r>
      <w:r w:rsidR="00CF1482">
        <w:rPr>
          <w:sz w:val="24"/>
          <w:szCs w:val="24"/>
        </w:rPr>
        <w:t>These arrangements only relate to admissions after January 2019</w:t>
      </w:r>
      <w:r w:rsidR="0091633F">
        <w:rPr>
          <w:sz w:val="24"/>
          <w:szCs w:val="24"/>
        </w:rPr>
        <w:t xml:space="preserve"> to long term placements, not </w:t>
      </w:r>
      <w:r>
        <w:rPr>
          <w:sz w:val="24"/>
          <w:szCs w:val="24"/>
        </w:rPr>
        <w:t>respite or assessment</w:t>
      </w:r>
      <w:r w:rsidR="0091633F">
        <w:rPr>
          <w:sz w:val="24"/>
          <w:szCs w:val="24"/>
        </w:rPr>
        <w:t xml:space="preserve"> care users.</w:t>
      </w:r>
    </w:p>
    <w:p w14:paraId="01C8A68A" w14:textId="55224DC0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 xml:space="preserve">The top up amount </w:t>
      </w:r>
      <w:r w:rsidR="0091633F" w:rsidRPr="005F5A63">
        <w:rPr>
          <w:sz w:val="24"/>
          <w:szCs w:val="24"/>
        </w:rPr>
        <w:t>m</w:t>
      </w:r>
      <w:r w:rsidR="0091633F">
        <w:rPr>
          <w:sz w:val="24"/>
          <w:szCs w:val="24"/>
        </w:rPr>
        <w:t>ust</w:t>
      </w:r>
      <w:r w:rsidRPr="005F5A63">
        <w:rPr>
          <w:sz w:val="24"/>
          <w:szCs w:val="24"/>
        </w:rPr>
        <w:t xml:space="preserve"> be agreed prior to the resident admission and is </w:t>
      </w:r>
      <w:r w:rsidR="0091633F">
        <w:rPr>
          <w:sz w:val="24"/>
          <w:szCs w:val="24"/>
        </w:rPr>
        <w:t xml:space="preserve">agreed </w:t>
      </w:r>
      <w:r w:rsidRPr="005F5A63">
        <w:rPr>
          <w:sz w:val="24"/>
          <w:szCs w:val="24"/>
        </w:rPr>
        <w:t>between the person paying</w:t>
      </w:r>
      <w:r w:rsidR="00CF1482">
        <w:rPr>
          <w:sz w:val="24"/>
          <w:szCs w:val="24"/>
        </w:rPr>
        <w:t xml:space="preserve">, </w:t>
      </w:r>
      <w:r w:rsidR="000E0FC9">
        <w:rPr>
          <w:sz w:val="24"/>
          <w:szCs w:val="24"/>
        </w:rPr>
        <w:t>Manchester City</w:t>
      </w:r>
      <w:r w:rsidR="00CF1482">
        <w:rPr>
          <w:sz w:val="24"/>
          <w:szCs w:val="24"/>
        </w:rPr>
        <w:t xml:space="preserve"> </w:t>
      </w:r>
      <w:r w:rsidR="00CF1482" w:rsidRPr="005F5A63">
        <w:rPr>
          <w:sz w:val="24"/>
          <w:szCs w:val="24"/>
        </w:rPr>
        <w:t>and</w:t>
      </w:r>
      <w:r w:rsidRPr="005F5A63">
        <w:rPr>
          <w:sz w:val="24"/>
          <w:szCs w:val="24"/>
        </w:rPr>
        <w:t xml:space="preserve"> </w:t>
      </w:r>
      <w:r w:rsidR="000E0FC9">
        <w:rPr>
          <w:sz w:val="24"/>
          <w:szCs w:val="24"/>
        </w:rPr>
        <w:t>Marion Lauder House</w:t>
      </w:r>
      <w:r w:rsidR="00CF1482">
        <w:rPr>
          <w:sz w:val="24"/>
          <w:szCs w:val="24"/>
        </w:rPr>
        <w:t>.</w:t>
      </w:r>
    </w:p>
    <w:p w14:paraId="09A9AC17" w14:textId="77777777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 xml:space="preserve">In </w:t>
      </w:r>
      <w:r w:rsidR="000E0FC9">
        <w:rPr>
          <w:sz w:val="24"/>
          <w:szCs w:val="24"/>
        </w:rPr>
        <w:t xml:space="preserve">Manchester </w:t>
      </w:r>
      <w:r w:rsidRPr="005F5A63">
        <w:rPr>
          <w:sz w:val="24"/>
          <w:szCs w:val="24"/>
        </w:rPr>
        <w:t xml:space="preserve">the top up is collected through </w:t>
      </w:r>
      <w:r w:rsidR="000E0FC9">
        <w:rPr>
          <w:sz w:val="24"/>
          <w:szCs w:val="24"/>
        </w:rPr>
        <w:t>Manchester City</w:t>
      </w:r>
      <w:r w:rsidRPr="005F5A63">
        <w:rPr>
          <w:sz w:val="24"/>
          <w:szCs w:val="24"/>
        </w:rPr>
        <w:t xml:space="preserve"> Councils charging policy</w:t>
      </w:r>
      <w:r w:rsidR="00CF1482">
        <w:rPr>
          <w:sz w:val="24"/>
          <w:szCs w:val="24"/>
        </w:rPr>
        <w:t xml:space="preserve"> and the date of collection and all arrangements relating to collection and late payment are detailed within the </w:t>
      </w:r>
      <w:r w:rsidR="000E0FC9">
        <w:rPr>
          <w:sz w:val="24"/>
          <w:szCs w:val="24"/>
        </w:rPr>
        <w:t>Manchester City</w:t>
      </w:r>
      <w:r w:rsidR="00CF1482">
        <w:rPr>
          <w:sz w:val="24"/>
          <w:szCs w:val="24"/>
        </w:rPr>
        <w:t xml:space="preserve"> Council agreements.</w:t>
      </w:r>
    </w:p>
    <w:p w14:paraId="4D3BAB6D" w14:textId="2E069238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>We review the top up rate annually after being informed by the Local Authority of its increase in fee. We re</w:t>
      </w:r>
      <w:r w:rsidR="005F5A63" w:rsidRPr="005F5A63">
        <w:rPr>
          <w:sz w:val="24"/>
          <w:szCs w:val="24"/>
        </w:rPr>
        <w:t>serve</w:t>
      </w:r>
      <w:r w:rsidRPr="005F5A63">
        <w:rPr>
          <w:sz w:val="24"/>
          <w:szCs w:val="24"/>
        </w:rPr>
        <w:t xml:space="preserve"> the right to increase the top up rate in April each year.</w:t>
      </w:r>
    </w:p>
    <w:p w14:paraId="052C407F" w14:textId="77777777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>Should a resident be admitted within 6 months of the increase an</w:t>
      </w:r>
      <w:r w:rsidR="00CF1482">
        <w:rPr>
          <w:sz w:val="24"/>
          <w:szCs w:val="24"/>
        </w:rPr>
        <w:t>y</w:t>
      </w:r>
      <w:r w:rsidRPr="005F5A63">
        <w:rPr>
          <w:sz w:val="24"/>
          <w:szCs w:val="24"/>
        </w:rPr>
        <w:t xml:space="preserve"> increase will not be levied against that person until the following year.</w:t>
      </w:r>
      <w:bookmarkStart w:id="0" w:name="_GoBack"/>
      <w:bookmarkEnd w:id="0"/>
    </w:p>
    <w:p w14:paraId="0DB2EC68" w14:textId="77777777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 xml:space="preserve">We will notify the person paying the top up of any increase within </w:t>
      </w:r>
      <w:r w:rsidR="000E0FC9">
        <w:rPr>
          <w:sz w:val="24"/>
          <w:szCs w:val="24"/>
        </w:rPr>
        <w:t>8 weeks</w:t>
      </w:r>
      <w:r w:rsidRPr="005F5A63">
        <w:rPr>
          <w:sz w:val="24"/>
          <w:szCs w:val="24"/>
        </w:rPr>
        <w:t xml:space="preserve"> of this being charged to enable any concerns to be discussed and agreed with the Registered Manager.</w:t>
      </w:r>
    </w:p>
    <w:p w14:paraId="242401F6" w14:textId="77777777" w:rsidR="00C859B7" w:rsidRPr="005F5A63" w:rsidRDefault="00C859B7" w:rsidP="0091633F">
      <w:pPr>
        <w:jc w:val="both"/>
        <w:rPr>
          <w:sz w:val="24"/>
          <w:szCs w:val="24"/>
        </w:rPr>
      </w:pPr>
      <w:r w:rsidRPr="005F5A63">
        <w:rPr>
          <w:sz w:val="24"/>
          <w:szCs w:val="24"/>
        </w:rPr>
        <w:t>A top up ceases to be chargeable immediately upon death of the resident, a resident becoming self-funding or being moved to Continuing care funding (CHC)</w:t>
      </w:r>
    </w:p>
    <w:p w14:paraId="146C0C57" w14:textId="77777777" w:rsidR="00C859B7" w:rsidRPr="005F5A63" w:rsidRDefault="00C859B7" w:rsidP="005F5A63">
      <w:pPr>
        <w:rPr>
          <w:sz w:val="24"/>
          <w:szCs w:val="24"/>
        </w:rPr>
      </w:pPr>
      <w:r w:rsidRPr="005F5A63">
        <w:rPr>
          <w:sz w:val="24"/>
          <w:szCs w:val="24"/>
        </w:rPr>
        <w:t>The top up cov</w:t>
      </w:r>
      <w:r w:rsidR="005F5A63" w:rsidRPr="005F5A63">
        <w:rPr>
          <w:sz w:val="24"/>
          <w:szCs w:val="24"/>
        </w:rPr>
        <w:t>ers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0"/>
      </w:tblGrid>
      <w:tr w:rsidR="00C859B7" w:rsidRPr="005F5A63" w14:paraId="4765F11D" w14:textId="77777777">
        <w:trPr>
          <w:trHeight w:val="3306"/>
        </w:trPr>
        <w:tc>
          <w:tcPr>
            <w:tcW w:w="7030" w:type="dxa"/>
          </w:tcPr>
          <w:p w14:paraId="10223482" w14:textId="77777777" w:rsidR="00C859B7" w:rsidRPr="005F5A63" w:rsidRDefault="00C859B7" w:rsidP="005F5A63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Access to SKYPE to keep in touch with family and friends </w:t>
            </w:r>
          </w:p>
          <w:p w14:paraId="0B451CF9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Holistic therapist </w:t>
            </w:r>
          </w:p>
          <w:p w14:paraId="75752358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‘Speak up’ Advocate </w:t>
            </w:r>
          </w:p>
          <w:p w14:paraId="29D9CB39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Telephone point in every bedroom </w:t>
            </w:r>
          </w:p>
          <w:p w14:paraId="2356250C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Provision of a TV and or radio </w:t>
            </w:r>
          </w:p>
          <w:p w14:paraId="3AD800F2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Free Wi-Fi </w:t>
            </w:r>
          </w:p>
          <w:p w14:paraId="0BA9179D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Free Dry Cleaning </w:t>
            </w:r>
          </w:p>
          <w:p w14:paraId="70FB9163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Free Chiropody </w:t>
            </w:r>
          </w:p>
          <w:p w14:paraId="7E057B5F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Branded Toiletries </w:t>
            </w:r>
          </w:p>
          <w:p w14:paraId="335AE7D2" w14:textId="77777777" w:rsidR="00C859B7" w:rsidRPr="005F5A63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Alcoholic beverages with meals (as appropriate) </w:t>
            </w:r>
          </w:p>
          <w:p w14:paraId="417C23F4" w14:textId="77777777" w:rsidR="00C859B7" w:rsidRDefault="00C859B7" w:rsidP="00C859B7">
            <w:pPr>
              <w:pStyle w:val="Default"/>
              <w:numPr>
                <w:ilvl w:val="0"/>
                <w:numId w:val="5"/>
              </w:numPr>
            </w:pPr>
            <w:r w:rsidRPr="005F5A63">
              <w:t xml:space="preserve">Non menu foods </w:t>
            </w:r>
          </w:p>
          <w:p w14:paraId="527C181D" w14:textId="77777777" w:rsidR="00CF1482" w:rsidRDefault="00CF1482" w:rsidP="00CF1482">
            <w:pPr>
              <w:pStyle w:val="Default"/>
            </w:pPr>
          </w:p>
          <w:p w14:paraId="7DB5ED85" w14:textId="77777777" w:rsidR="00C859B7" w:rsidRPr="005F5A63" w:rsidRDefault="00C859B7" w:rsidP="0068749F">
            <w:pPr>
              <w:pStyle w:val="Default"/>
            </w:pPr>
          </w:p>
        </w:tc>
      </w:tr>
    </w:tbl>
    <w:p w14:paraId="2CDFD1A8" w14:textId="77777777" w:rsidR="00C859B7" w:rsidRPr="005F5A63" w:rsidRDefault="00C859B7">
      <w:pPr>
        <w:rPr>
          <w:sz w:val="24"/>
          <w:szCs w:val="24"/>
        </w:rPr>
      </w:pPr>
    </w:p>
    <w:sectPr w:rsidR="00C859B7" w:rsidRPr="005F5A63" w:rsidSect="00B8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0B9"/>
    <w:multiLevelType w:val="hybridMultilevel"/>
    <w:tmpl w:val="86D6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3E3F"/>
    <w:multiLevelType w:val="hybridMultilevel"/>
    <w:tmpl w:val="3D46C9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D17C0E"/>
    <w:multiLevelType w:val="hybridMultilevel"/>
    <w:tmpl w:val="A6965C28"/>
    <w:lvl w:ilvl="0" w:tplc="D50CB72C">
      <w:numFmt w:val="bullet"/>
      <w:lvlText w:val="•"/>
      <w:lvlJc w:val="left"/>
      <w:pPr>
        <w:ind w:left="720" w:hanging="360"/>
      </w:pPr>
      <w:rPr>
        <w:rFonts w:ascii="Candara" w:eastAsiaTheme="minorHAnsi" w:hAnsi="Candara" w:cs="Canda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4B5"/>
    <w:multiLevelType w:val="hybridMultilevel"/>
    <w:tmpl w:val="6A14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3E25"/>
    <w:multiLevelType w:val="hybridMultilevel"/>
    <w:tmpl w:val="856CFE36"/>
    <w:lvl w:ilvl="0" w:tplc="D50CB72C">
      <w:numFmt w:val="bullet"/>
      <w:lvlText w:val="•"/>
      <w:lvlJc w:val="left"/>
      <w:pPr>
        <w:ind w:left="1080" w:hanging="360"/>
      </w:pPr>
      <w:rPr>
        <w:rFonts w:ascii="Candara" w:eastAsiaTheme="minorHAnsi" w:hAnsi="Candara" w:cs="Candar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7"/>
    <w:rsid w:val="000E0FC9"/>
    <w:rsid w:val="00260F42"/>
    <w:rsid w:val="00472349"/>
    <w:rsid w:val="005F5A63"/>
    <w:rsid w:val="0068749F"/>
    <w:rsid w:val="0091633F"/>
    <w:rsid w:val="00A51FE8"/>
    <w:rsid w:val="00B847D9"/>
    <w:rsid w:val="00C859B7"/>
    <w:rsid w:val="00CF1482"/>
    <w:rsid w:val="00F3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9C93"/>
  <w15:docId w15:val="{0873750F-E80E-44FA-AD7D-8B4FE92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9B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Clark</dc:creator>
  <cp:keywords/>
  <dc:description/>
  <cp:lastModifiedBy>Paula Clark</cp:lastModifiedBy>
  <cp:revision>2</cp:revision>
  <dcterms:created xsi:type="dcterms:W3CDTF">2020-02-17T13:34:00Z</dcterms:created>
  <dcterms:modified xsi:type="dcterms:W3CDTF">2020-02-17T13:34:00Z</dcterms:modified>
</cp:coreProperties>
</file>